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0760"/>
      </w:tblGrid>
      <w:tr w:rsidR="005226BF" w:rsidTr="005226BF"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tbl>
            <w:tblPr>
              <w:tblW w:w="4524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40"/>
            </w:tblGrid>
            <w:tr w:rsidR="005226BF" w:rsidRPr="00E32825" w:rsidTr="005226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226BF" w:rsidRPr="00E32825" w:rsidRDefault="005226BF" w:rsidP="0075096A">
                  <w:pPr>
                    <w:jc w:val="center"/>
                  </w:pPr>
                  <w:r w:rsidRPr="00E32825">
                    <w:rPr>
                      <w:b/>
                      <w:bCs/>
                    </w:rPr>
                    <w:t xml:space="preserve">Quinoxaline-6-carboxamides inhibit HBV infection </w:t>
                  </w:r>
                  <w:r w:rsidRPr="00E32825">
                    <w:rPr>
                      <w:b/>
                      <w:bCs/>
                      <w:i/>
                      <w:iCs/>
                    </w:rPr>
                    <w:t>in vitro</w:t>
                  </w:r>
                </w:p>
              </w:tc>
            </w:tr>
            <w:tr w:rsidR="005226BF" w:rsidRPr="00E32825" w:rsidTr="005226B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226BF" w:rsidRPr="00E32825" w:rsidRDefault="005226BF" w:rsidP="0075096A">
                  <w:pPr>
                    <w:jc w:val="center"/>
                  </w:pPr>
                  <w:proofErr w:type="spellStart"/>
                  <w:r w:rsidRPr="00E32825">
                    <w:t>Vadim</w:t>
                  </w:r>
                  <w:proofErr w:type="spellEnd"/>
                  <w:r w:rsidRPr="00E32825">
                    <w:t xml:space="preserve"> </w:t>
                  </w:r>
                  <w:proofErr w:type="spellStart"/>
                  <w:r w:rsidRPr="00E32825">
                    <w:t>Bichko</w:t>
                  </w:r>
                  <w:proofErr w:type="spellEnd"/>
                  <w:r w:rsidRPr="00E32825">
                    <w:t xml:space="preserve">, Alexei </w:t>
                  </w:r>
                  <w:proofErr w:type="spellStart"/>
                  <w:r w:rsidRPr="00E32825">
                    <w:t>Rjakhovskiy</w:t>
                  </w:r>
                  <w:proofErr w:type="spellEnd"/>
                  <w:r w:rsidRPr="00E32825">
                    <w:t xml:space="preserve">, Eugenia </w:t>
                  </w:r>
                  <w:proofErr w:type="spellStart"/>
                  <w:r w:rsidRPr="00E32825">
                    <w:t>Remeeva</w:t>
                  </w:r>
                  <w:proofErr w:type="spellEnd"/>
                  <w:r w:rsidRPr="00E32825">
                    <w:t xml:space="preserve">, Boris </w:t>
                  </w:r>
                  <w:proofErr w:type="spellStart"/>
                  <w:r w:rsidRPr="00E32825">
                    <w:t>Rogovoy</w:t>
                  </w:r>
                  <w:proofErr w:type="spellEnd"/>
                  <w:r w:rsidRPr="00E32825">
                    <w:t xml:space="preserve">. </w:t>
                  </w:r>
                  <w:proofErr w:type="spellStart"/>
                  <w:r w:rsidRPr="00E32825">
                    <w:rPr>
                      <w:i/>
                      <w:iCs/>
                    </w:rPr>
                    <w:t>Viriom</w:t>
                  </w:r>
                  <w:proofErr w:type="spellEnd"/>
                  <w:r w:rsidRPr="00E32825">
                    <w:rPr>
                      <w:i/>
                      <w:iCs/>
                    </w:rPr>
                    <w:t xml:space="preserve"> Inc., San Diego, CA, United States</w:t>
                  </w:r>
                </w:p>
                <w:p w:rsidR="005226BF" w:rsidRPr="00E32825" w:rsidRDefault="005226BF" w:rsidP="0075096A">
                  <w:r w:rsidRPr="00E32825">
                    <w:br/>
                  </w:r>
                  <w:r w:rsidRPr="00E32825">
                    <w:br/>
                  </w:r>
                  <w:r w:rsidRPr="00E32825">
                    <w:rPr>
                      <w:rStyle w:val="times11"/>
                    </w:rPr>
                    <w:t xml:space="preserve">Currently, more than 350 million people suffer from chronic HBV infection. Chronic hepatitis B frequently progresses to liver cirrhosis and </w:t>
                  </w:r>
                  <w:proofErr w:type="spellStart"/>
                  <w:r w:rsidRPr="00E32825">
                    <w:rPr>
                      <w:rStyle w:val="times11"/>
                    </w:rPr>
                    <w:t>hepatocellular</w:t>
                  </w:r>
                  <w:proofErr w:type="spellEnd"/>
                  <w:r w:rsidRPr="00E32825">
                    <w:rPr>
                      <w:rStyle w:val="times11"/>
                    </w:rPr>
                    <w:t xml:space="preserve"> carcinoma, a leading cause of cancer-related morbidity and mortality worldwide.</w:t>
                  </w:r>
                  <w:r w:rsidRPr="00E32825">
                    <w:br/>
                  </w:r>
                  <w:r w:rsidRPr="00E32825">
                    <w:rPr>
                      <w:rStyle w:val="times11"/>
                    </w:rPr>
                    <w:t xml:space="preserve">This study is focused on the discovery and characterization of small molecules that reduce or eliminate HBV </w:t>
                  </w:r>
                  <w:proofErr w:type="spellStart"/>
                  <w:r w:rsidRPr="00E32825">
                    <w:rPr>
                      <w:rStyle w:val="times11"/>
                    </w:rPr>
                    <w:t>cccDNA</w:t>
                  </w:r>
                  <w:proofErr w:type="spellEnd"/>
                  <w:r w:rsidRPr="00E32825">
                    <w:rPr>
                      <w:rStyle w:val="times11"/>
                    </w:rPr>
                    <w:t xml:space="preserve"> from the nuclei of infected cells. Drug candidates with such mechanism of action, in contrast to the currently available HBV drugs, would have a potential to eradicate HBV and cure chronically-infected HBV patients.</w:t>
                  </w:r>
                  <w:r w:rsidRPr="00E32825">
                    <w:br/>
                  </w:r>
                  <w:r w:rsidRPr="00E32825">
                    <w:rPr>
                      <w:rStyle w:val="times11"/>
                    </w:rPr>
                    <w:t xml:space="preserve">A robust HBV </w:t>
                  </w:r>
                  <w:r w:rsidRPr="00E32825">
                    <w:rPr>
                      <w:rStyle w:val="times11"/>
                      <w:i/>
                      <w:iCs/>
                    </w:rPr>
                    <w:t>in vitro</w:t>
                  </w:r>
                  <w:r w:rsidRPr="00E32825">
                    <w:rPr>
                      <w:rStyle w:val="times11"/>
                    </w:rPr>
                    <w:t xml:space="preserve">-infection model has been developed (Seeger and </w:t>
                  </w:r>
                  <w:proofErr w:type="spellStart"/>
                  <w:r w:rsidRPr="00E32825">
                    <w:rPr>
                      <w:rStyle w:val="times11"/>
                    </w:rPr>
                    <w:t>Sohn</w:t>
                  </w:r>
                  <w:proofErr w:type="spellEnd"/>
                  <w:r w:rsidRPr="00E32825">
                    <w:rPr>
                      <w:rStyle w:val="times11"/>
                    </w:rPr>
                    <w:t xml:space="preserve">, 2014). A human </w:t>
                  </w:r>
                  <w:proofErr w:type="spellStart"/>
                  <w:r w:rsidRPr="00E32825">
                    <w:rPr>
                      <w:rStyle w:val="times11"/>
                    </w:rPr>
                    <w:t>hepatoma</w:t>
                  </w:r>
                  <w:proofErr w:type="spellEnd"/>
                  <w:r w:rsidRPr="00E32825">
                    <w:rPr>
                      <w:rStyle w:val="times11"/>
                    </w:rPr>
                    <w:t xml:space="preserve"> cell line HepG2, stably expressing the sodium </w:t>
                  </w:r>
                  <w:proofErr w:type="spellStart"/>
                  <w:r w:rsidRPr="00E32825">
                    <w:rPr>
                      <w:rStyle w:val="times11"/>
                    </w:rPr>
                    <w:t>taurocholate</w:t>
                  </w:r>
                  <w:proofErr w:type="spellEnd"/>
                  <w:r w:rsidRPr="00E32825">
                    <w:rPr>
                      <w:rStyle w:val="times11"/>
                    </w:rPr>
                    <w:t xml:space="preserve"> </w:t>
                  </w:r>
                  <w:proofErr w:type="spellStart"/>
                  <w:r w:rsidRPr="00E32825">
                    <w:rPr>
                      <w:rStyle w:val="times11"/>
                    </w:rPr>
                    <w:t>cotransporting</w:t>
                  </w:r>
                  <w:proofErr w:type="spellEnd"/>
                  <w:r w:rsidRPr="00E32825">
                    <w:rPr>
                      <w:rStyle w:val="times11"/>
                    </w:rPr>
                    <w:t xml:space="preserve"> polypeptide (NTCP), has been constructed and characterized. An efficient HBV replication in the infected cells was confirmed with cell ELISA for several viral intracellular antigens (including </w:t>
                  </w:r>
                  <w:proofErr w:type="spellStart"/>
                  <w:r w:rsidRPr="00E32825">
                    <w:rPr>
                      <w:rStyle w:val="times11"/>
                    </w:rPr>
                    <w:t>HBsAg</w:t>
                  </w:r>
                  <w:proofErr w:type="spellEnd"/>
                  <w:r w:rsidRPr="00E32825">
                    <w:rPr>
                      <w:rStyle w:val="times11"/>
                    </w:rPr>
                    <w:t xml:space="preserve">- Large, </w:t>
                  </w:r>
                  <w:proofErr w:type="spellStart"/>
                  <w:r w:rsidRPr="00E32825">
                    <w:rPr>
                      <w:rStyle w:val="times11"/>
                    </w:rPr>
                    <w:t>HBsAg</w:t>
                  </w:r>
                  <w:proofErr w:type="spellEnd"/>
                  <w:r w:rsidRPr="00E32825">
                    <w:rPr>
                      <w:rStyle w:val="times11"/>
                    </w:rPr>
                    <w:t xml:space="preserve">-Middle and </w:t>
                  </w:r>
                  <w:proofErr w:type="spellStart"/>
                  <w:r w:rsidRPr="00E32825">
                    <w:rPr>
                      <w:rStyle w:val="times11"/>
                    </w:rPr>
                    <w:t>HBcAg</w:t>
                  </w:r>
                  <w:proofErr w:type="spellEnd"/>
                  <w:r w:rsidRPr="00E32825">
                    <w:rPr>
                      <w:rStyle w:val="times11"/>
                    </w:rPr>
                    <w:t xml:space="preserve">), as well as with </w:t>
                  </w:r>
                  <w:proofErr w:type="spellStart"/>
                  <w:r w:rsidRPr="00E32825">
                    <w:rPr>
                      <w:rStyle w:val="times11"/>
                    </w:rPr>
                    <w:t>immunofluorescence</w:t>
                  </w:r>
                  <w:proofErr w:type="spellEnd"/>
                  <w:r w:rsidRPr="00E32825">
                    <w:rPr>
                      <w:rStyle w:val="times11"/>
                    </w:rPr>
                    <w:t xml:space="preserve"> and </w:t>
                  </w:r>
                  <w:proofErr w:type="spellStart"/>
                  <w:r w:rsidRPr="00E32825">
                    <w:rPr>
                      <w:rStyle w:val="times11"/>
                    </w:rPr>
                    <w:t>immunohistochemistry</w:t>
                  </w:r>
                  <w:proofErr w:type="spellEnd"/>
                  <w:r w:rsidRPr="00E32825">
                    <w:rPr>
                      <w:rStyle w:val="times11"/>
                    </w:rPr>
                    <w:t>.</w:t>
                  </w:r>
                  <w:r w:rsidRPr="00E32825">
                    <w:br/>
                  </w:r>
                  <w:r w:rsidRPr="00E32825">
                    <w:rPr>
                      <w:rStyle w:val="times11"/>
                    </w:rPr>
                    <w:t xml:space="preserve">The HTS was automated and run on the </w:t>
                  </w:r>
                  <w:proofErr w:type="spellStart"/>
                  <w:r w:rsidRPr="00E32825">
                    <w:rPr>
                      <w:rStyle w:val="times11"/>
                    </w:rPr>
                    <w:t>Biomek</w:t>
                  </w:r>
                  <w:proofErr w:type="spellEnd"/>
                  <w:r w:rsidRPr="00E32825">
                    <w:rPr>
                      <w:rStyle w:val="times11"/>
                    </w:rPr>
                    <w:t xml:space="preserve"> robotic workstation. The HepG2/NTCP cells in the 96-well plates were infected with HBV, treated with test compounds at 10 µM for 7 days, and HBV replication inhibition was measured using ELISA for the secreted </w:t>
                  </w:r>
                  <w:proofErr w:type="spellStart"/>
                  <w:r w:rsidRPr="00E32825">
                    <w:rPr>
                      <w:rStyle w:val="times11"/>
                    </w:rPr>
                    <w:t>HBeAg</w:t>
                  </w:r>
                  <w:proofErr w:type="spellEnd"/>
                  <w:r w:rsidRPr="00E32825">
                    <w:rPr>
                      <w:rStyle w:val="times11"/>
                    </w:rPr>
                    <w:t xml:space="preserve"> as readout. Compound </w:t>
                  </w:r>
                  <w:proofErr w:type="spellStart"/>
                  <w:r w:rsidRPr="00E32825">
                    <w:rPr>
                      <w:rStyle w:val="times11"/>
                    </w:rPr>
                    <w:t>cytotoxicity</w:t>
                  </w:r>
                  <w:proofErr w:type="spellEnd"/>
                  <w:r w:rsidRPr="00E32825">
                    <w:rPr>
                      <w:rStyle w:val="times11"/>
                    </w:rPr>
                    <w:t xml:space="preserve"> was determined in parallel, using cells in same 96-well plates.</w:t>
                  </w:r>
                  <w:r w:rsidRPr="00E32825">
                    <w:br/>
                  </w:r>
                  <w:r w:rsidRPr="00E32825">
                    <w:rPr>
                      <w:rStyle w:val="times11"/>
                    </w:rPr>
                    <w:t xml:space="preserve">The antiviral activity and </w:t>
                  </w:r>
                  <w:proofErr w:type="spellStart"/>
                  <w:r w:rsidRPr="00E32825">
                    <w:rPr>
                      <w:rStyle w:val="times11"/>
                    </w:rPr>
                    <w:t>cytotoxicity</w:t>
                  </w:r>
                  <w:proofErr w:type="spellEnd"/>
                  <w:r w:rsidRPr="00E32825">
                    <w:rPr>
                      <w:rStyle w:val="times11"/>
                    </w:rPr>
                    <w:t xml:space="preserve"> of the identified hits was further evaluated at multiple concentrations, and the EC50 and CC50 values were determined. As a result, at least five distinct chemistry series of HBV inhibitors were identified, with the EC50 values ranging from 0.08+/- 0.03 µM to &lt; 10 µM, and CC50 values &gt;30 µM (the highest concentration tested). The HBV inhibition was also confirmed by </w:t>
                  </w:r>
                  <w:proofErr w:type="spellStart"/>
                  <w:r w:rsidRPr="00E32825">
                    <w:rPr>
                      <w:rStyle w:val="times11"/>
                    </w:rPr>
                    <w:t>immunofluorescence</w:t>
                  </w:r>
                  <w:proofErr w:type="spellEnd"/>
                  <w:r w:rsidRPr="00E32825">
                    <w:rPr>
                      <w:rStyle w:val="times11"/>
                    </w:rPr>
                    <w:t xml:space="preserve"> staining for the intracellular </w:t>
                  </w:r>
                  <w:proofErr w:type="spellStart"/>
                  <w:r w:rsidRPr="00E32825">
                    <w:rPr>
                      <w:rStyle w:val="times11"/>
                    </w:rPr>
                    <w:t>HBcAg</w:t>
                  </w:r>
                  <w:proofErr w:type="spellEnd"/>
                  <w:r w:rsidRPr="00E32825">
                    <w:rPr>
                      <w:rStyle w:val="times11"/>
                    </w:rPr>
                    <w:t xml:space="preserve">. The mechanism of molecular action studies for the most promising inhibitor series are in progress. The results of these studies, including time of drug </w:t>
                  </w:r>
                  <w:proofErr w:type="spellStart"/>
                  <w:r w:rsidRPr="00E32825">
                    <w:rPr>
                      <w:rStyle w:val="times11"/>
                    </w:rPr>
                    <w:t>addition</w:t>
                  </w:r>
                  <w:proofErr w:type="spellEnd"/>
                  <w:r w:rsidRPr="00E32825">
                    <w:rPr>
                      <w:rStyle w:val="times11"/>
                    </w:rPr>
                    <w:t xml:space="preserve"> experiments, compound effects on HBV core DNA and HBV </w:t>
                  </w:r>
                  <w:proofErr w:type="spellStart"/>
                  <w:r w:rsidRPr="00E32825">
                    <w:rPr>
                      <w:rStyle w:val="times11"/>
                    </w:rPr>
                    <w:t>cccDNA</w:t>
                  </w:r>
                  <w:proofErr w:type="spellEnd"/>
                  <w:r w:rsidRPr="00E32825">
                    <w:rPr>
                      <w:rStyle w:val="times11"/>
                    </w:rPr>
                    <w:t xml:space="preserve"> in cell cultures using the real-time quantitative PCR technique, will be presented.</w:t>
                  </w:r>
                  <w:r w:rsidRPr="00E32825">
                    <w:br/>
                  </w:r>
                  <w:r w:rsidRPr="00E32825">
                    <w:rPr>
                      <w:rStyle w:val="times11"/>
                    </w:rPr>
                    <w:t xml:space="preserve">In conclusion, further pre-clinical studies of these newly discovered HBV inhibitors are warranted. </w:t>
                  </w:r>
                </w:p>
              </w:tc>
            </w:tr>
          </w:tbl>
          <w:p w:rsidR="005226BF" w:rsidRPr="00E32825" w:rsidRDefault="005226BF" w:rsidP="0075096A">
            <w:pPr>
              <w:rPr>
                <w:i/>
                <w:iCs/>
                <w:vanish/>
                <w:color w:val="26597F"/>
              </w:rPr>
            </w:pPr>
          </w:p>
        </w:tc>
      </w:tr>
      <w:tr w:rsidR="005226BF" w:rsidTr="005226BF"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44"/>
            </w:tblGrid>
            <w:tr w:rsidR="005226BF" w:rsidRPr="00E32825" w:rsidTr="0075096A">
              <w:trPr>
                <w:tblCellSpacing w:w="15" w:type="dxa"/>
              </w:trPr>
              <w:tc>
                <w:tcPr>
                  <w:tcW w:w="9390" w:type="dxa"/>
                  <w:vAlign w:val="center"/>
                  <w:hideMark/>
                </w:tcPr>
                <w:p w:rsidR="005226BF" w:rsidRPr="00E32825" w:rsidRDefault="005226BF" w:rsidP="0075096A">
                  <w:pPr>
                    <w:jc w:val="center"/>
                  </w:pPr>
                </w:p>
              </w:tc>
            </w:tr>
          </w:tbl>
          <w:p w:rsidR="005226BF" w:rsidRDefault="005226BF"/>
        </w:tc>
      </w:tr>
    </w:tbl>
    <w:p w:rsidR="00A97B68" w:rsidRDefault="005226BF" w:rsidP="00D5132C">
      <w:pPr>
        <w:ind w:right="1620"/>
        <w:jc w:val="both"/>
      </w:pPr>
    </w:p>
    <w:sectPr w:rsidR="00A97B68" w:rsidSect="00A97B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FD14FE"/>
    <w:rsid w:val="001710D1"/>
    <w:rsid w:val="005226BF"/>
    <w:rsid w:val="00524153"/>
    <w:rsid w:val="005A202D"/>
    <w:rsid w:val="007B2718"/>
    <w:rsid w:val="00D5132C"/>
    <w:rsid w:val="00EE106D"/>
    <w:rsid w:val="00FD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5A39"/>
    <w:rPr>
      <w:rFonts w:ascii="Lucida Grande" w:hAnsi="Lucida Grande"/>
      <w:sz w:val="18"/>
      <w:szCs w:val="18"/>
    </w:rPr>
  </w:style>
  <w:style w:type="character" w:customStyle="1" w:styleId="times11">
    <w:name w:val="times11"/>
    <w:basedOn w:val="DefaultParagraphFont"/>
    <w:rsid w:val="005226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5A3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Seeger</dc:creator>
  <cp:lastModifiedBy>vbichko</cp:lastModifiedBy>
  <cp:revision>2</cp:revision>
  <dcterms:created xsi:type="dcterms:W3CDTF">2015-03-02T17:04:00Z</dcterms:created>
  <dcterms:modified xsi:type="dcterms:W3CDTF">2015-03-02T17:04:00Z</dcterms:modified>
</cp:coreProperties>
</file>